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F02EDF" w:rsidRDefault="007B725C">
      <w:pPr>
        <w:rPr>
          <w:sz w:val="36"/>
          <w:szCs w:val="36"/>
        </w:rPr>
      </w:pPr>
      <w:r w:rsidRPr="00F02EDF">
        <w:rPr>
          <w:sz w:val="36"/>
          <w:szCs w:val="36"/>
        </w:rPr>
        <w:t xml:space="preserve">Fix-the-Phones CRM Requirements Excerpt – </w:t>
      </w:r>
    </w:p>
    <w:p w:rsidR="003E1464" w:rsidRDefault="007B725C" w:rsidRPr="00F02EDF">
      <w:pPr>
        <w:rPr>
          <w:sz w:val="36"/>
          <w:szCs w:val="36"/>
        </w:rPr>
      </w:pPr>
      <w:r w:rsidRPr="00F02EDF">
        <w:rPr>
          <w:sz w:val="36"/>
          <w:szCs w:val="36"/>
        </w:rPr>
        <w:t>Repository Requirements</w:t>
      </w:r>
    </w:p>
    <w:p w:rsidR="007B725C" w:rsidRDefault="007B725C"/>
    <w:p w:rsidR="007B725C" w:rsidRDefault="007B725C"/>
    <w:p w:rsidP="007B725C" w:rsidR="007B725C" w:rsidRDefault="007B725C" w:rsidRPr="00E2194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B725C">
        <w:rPr>
          <w:b/>
          <w:sz w:val="24"/>
          <w:szCs w:val="24"/>
        </w:rPr>
        <w:t xml:space="preserve">Requirements for Delivery in</w:t>
      </w:r>
      <w:r w:rsidR="00E21948">
        <w:rPr>
          <w:b/>
          <w:sz w:val="24"/>
          <w:szCs w:val="24"/>
        </w:rPr>
        <w:t xml:space="preserve"> July 2015</w:t>
      </w:r>
    </w:p>
    <w:p w:rsidR="007B725C" w:rsidRDefault="007B725C"/>
    <w:p w:rsidR="007B725C" w:rsidRDefault="007B725C"/>
    <w:tbl>
      <w:tblPr>
        <w:tblW w:type="pct" w:w="5000"/>
        <w:tblCellMar>
          <w:left w:type="dxa" w:w="0"/>
          <w:right w:type="dxa" w:w="0"/>
        </w:tblCellMar>
        <w:tblLook w:firstColumn="1" w:firstRow="1" w:lastColumn="0" w:lastRow="0" w:noHBand="0" w:noVBand="1" w:val="04A0"/>
      </w:tblPr>
      <w:tblGrid>
        <w:gridCol w:w="1164"/>
        <w:gridCol w:w="9"/>
        <w:gridCol w:w="904"/>
        <w:gridCol w:w="83"/>
        <w:gridCol w:w="4656"/>
        <w:gridCol w:w="1331"/>
        <w:gridCol w:w="1331"/>
      </w:tblGrid>
      <w:tr w:rsidR="00244834" w:rsidRPr="00DB77FA" w:rsidTr="00244834">
        <w:trPr>
          <w:cantSplit/>
          <w:tblHeader/>
        </w:trPr>
        <w:tc>
          <w:tcPr>
            <w:tcW w:type="pct" w:w="619"/>
            <w:gridSpan w:val="2"/>
            <w:tcBorders>
              <w:top w:color="000000" w:space="0" w:sz="8" w:val="single"/>
              <w:left w:color="000000" w:space="0" w:sz="8" w:val="single"/>
              <w:bottom w:color="auto" w:space="0" w:sz="8" w:val="single"/>
              <w:right w:color="000000" w:space="0" w:sz="8" w:val="single"/>
            </w:tcBorders>
            <w:shd w:color="auto" w:fill="C0C0C0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keepNext/>
              <w:spacing w:after="40" w:before="40" w:line="276" w:lineRule="auto"/>
              <w:rPr>
                <w:rFonts w:ascii="Arial" w:cs="Arial" w:hAnsi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cs="Arial" w:hAnsi="Arial"/>
                <w:b/>
                <w:bCs/>
                <w:sz w:val="20"/>
                <w:szCs w:val="20"/>
              </w:rPr>
              <w:t>Business Need (BN)</w:t>
            </w:r>
          </w:p>
        </w:tc>
        <w:tc>
          <w:tcPr>
            <w:tcW w:type="pct" w:w="521"/>
            <w:gridSpan w:val="2"/>
            <w:tcBorders>
              <w:top w:color="000000" w:space="0" w:sz="8" w:val="single"/>
              <w:left w:val="nil"/>
              <w:bottom w:color="000000" w:space="0" w:sz="8" w:val="single"/>
              <w:right w:color="000000" w:space="0" w:sz="8" w:val="single"/>
            </w:tcBorders>
            <w:shd w:color="auto" w:fill="C0C0C0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keepNext/>
              <w:spacing w:after="40" w:before="40" w:line="276" w:lineRule="auto"/>
              <w:rPr>
                <w:rFonts w:ascii="Arial" w:cs="Arial" w:hAnsi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cs="Arial" w:hAnsi="Arial"/>
                <w:b/>
                <w:bCs/>
                <w:sz w:val="20"/>
                <w:szCs w:val="20"/>
              </w:rPr>
              <w:t>OWNR</w:t>
            </w:r>
          </w:p>
          <w:p w:rsidR="00244834" w:rsidRDefault="00244834" w:rsidRPr="00DB77FA">
            <w:pPr>
              <w:keepNext/>
              <w:spacing w:after="40" w:before="40" w:line="276" w:lineRule="auto"/>
              <w:rPr>
                <w:rFonts w:ascii="Arial" w:cs="Arial" w:hAnsi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cs="Arial" w:hAnsi="Arial"/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type="pct" w:w="2456"/>
            <w:tcBorders>
              <w:top w:color="000000" w:space="0" w:sz="8" w:val="single"/>
              <w:left w:val="nil"/>
              <w:bottom w:color="000000" w:space="0" w:sz="8" w:val="single"/>
              <w:right w:color="000000" w:space="0" w:sz="8" w:val="single"/>
            </w:tcBorders>
            <w:shd w:color="auto" w:fill="C0C0C0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keepNext/>
              <w:spacing w:after="40" w:before="40" w:line="276" w:lineRule="auto"/>
              <w:rPr>
                <w:rFonts w:ascii="Arial" w:cs="Arial" w:hAnsi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cs="Arial" w:hAnsi="Arial"/>
                <w:b/>
                <w:bCs/>
                <w:sz w:val="20"/>
                <w:szCs w:val="20"/>
              </w:rPr>
              <w:t>Owner Requirement (OWNR)</w:t>
            </w:r>
          </w:p>
        </w:tc>
        <w:tc>
          <w:tcPr>
            <w:tcW w:type="pct" w:w="702"/>
            <w:tcBorders>
              <w:top w:color="000000" w:space="0" w:sz="8" w:val="single"/>
              <w:left w:val="nil"/>
              <w:bottom w:color="000000" w:space="0" w:sz="8" w:val="single"/>
              <w:right w:color="000000" w:space="0" w:sz="8" w:val="single"/>
            </w:tcBorders>
            <w:shd w:color="auto" w:fill="C0C0C0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keepNext/>
              <w:spacing w:after="40" w:before="40" w:line="276" w:lineRule="auto"/>
              <w:ind w:right="72"/>
              <w:jc w:val="center"/>
              <w:rPr>
                <w:rFonts w:ascii="Arial" w:cs="Arial" w:hAnsi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cs="Arial" w:hAnsi="Arial"/>
                <w:b/>
                <w:bCs/>
                <w:sz w:val="20"/>
                <w:szCs w:val="20"/>
              </w:rPr>
              <w:t>Date Needed</w:t>
            </w:r>
          </w:p>
        </w:tc>
        <w:tc>
          <w:tcPr>
            <w:tcW w:type="pct" w:w="702"/>
            <w:tcBorders>
              <w:top w:color="000000" w:space="0" w:sz="8" w:val="single"/>
              <w:left w:val="nil"/>
              <w:bottom w:color="000000" w:space="0" w:sz="8" w:val="single"/>
              <w:right w:color="000000" w:space="0" w:sz="8" w:val="single"/>
            </w:tcBorders>
            <w:shd w:color="auto" w:fill="C0C0C0" w:val="clear"/>
          </w:tcPr>
          <w:p w:rsidP="00472794" w:rsidR="00244834" w:rsidRDefault="00244834" w:rsidRPr="00DB77FA">
            <w:pPr>
              <w:keepNext/>
              <w:spacing w:after="40" w:before="40" w:line="276" w:lineRule="auto"/>
              <w:ind w:right="72"/>
              <w:jc w:val="center"/>
              <w:rPr>
                <w:rFonts w:ascii="Arial" w:cs="Arial" w:hAnsi="Arial"/>
                <w:b/>
                <w:bCs/>
                <w:sz w:val="20"/>
                <w:szCs w:val="20"/>
              </w:rPr>
            </w:pPr>
            <w:r>
              <w:rPr>
                <w:rFonts w:ascii="Arial" w:cs="Arial" w:hAnsi="Arial"/>
                <w:b/>
                <w:bCs/>
                <w:sz w:val="20"/>
                <w:szCs w:val="20"/>
              </w:rPr>
              <w:t>Service Provider</w:t>
            </w:r>
          </w:p>
        </w:tc>
      </w:tr>
      <w:tr w:rsidR="00244834" w:rsidRPr="00DB77FA" w:rsidTr="00244834">
        <w:trPr>
          <w:cantSplit/>
        </w:trPr>
        <w:tc>
          <w:tcPr>
            <w:tcW w:type="pct" w:w="4298"/>
            <w:gridSpan w:val="6"/>
            <w:tcBorders>
              <w:top w:val="nil"/>
              <w:left w:color="auto" w:space="0" w:sz="8" w:val="single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E41E19">
            <w:pPr>
              <w:spacing w:after="40" w:before="40" w:line="276" w:lineRule="auto"/>
              <w:ind w:right="72"/>
              <w:rPr>
                <w:rFonts w:ascii="Arial" w:cs="Arial" w:hAnsi="Arial"/>
                <w:b/>
                <w:sz w:val="20"/>
                <w:szCs w:val="20"/>
              </w:rPr>
            </w:pPr>
            <w:r w:rsidRPr="00E41E19">
              <w:rPr>
                <w:rFonts w:ascii="Arial" w:cs="Arial" w:hAnsi="Arial"/>
                <w:b/>
                <w:sz w:val="20"/>
                <w:szCs w:val="20"/>
              </w:rPr>
              <w:t>BN 3:  Consolidated Views of Veteran Information</w:t>
            </w:r>
          </w:p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Provide the ability for the call agent to automatically view</w:t>
            </w:r>
            <w:r w:rsidRPr="00DB77FA">
              <w:rPr>
                <w:rFonts w:ascii="Arial" w:cs="Arial" w:hAnsi="Arial"/>
                <w:b/>
                <w:bCs/>
                <w:sz w:val="20"/>
                <w:szCs w:val="20"/>
              </w:rPr>
              <w:t xml:space="preserve"> </w:t>
            </w:r>
            <w:r w:rsidRPr="00DB77FA">
              <w:rPr>
                <w:rFonts w:ascii="Arial" w:cs="Arial" w:hAnsi="Arial"/>
                <w:sz w:val="20"/>
                <w:szCs w:val="20"/>
              </w:rPr>
              <w:t xml:space="preserve">information from a single desktop view.  </w:t>
            </w:r>
          </w:p>
        </w:tc>
        <w:tc>
          <w:tcPr>
            <w:tcW w:type="pct" w:w="702"/>
            <w:tcBorders>
              <w:top w:val="nil"/>
              <w:left w:color="auto" w:space="0" w:sz="8" w:val="single"/>
              <w:bottom w:color="auto" w:space="0" w:sz="8" w:val="single"/>
              <w:right w:color="000000" w:space="0" w:sz="8" w:val="single"/>
            </w:tcBorders>
          </w:tcPr>
          <w:p w:rsidR="00244834" w:rsidRDefault="00244834" w:rsidRPr="00E41E19">
            <w:pPr>
              <w:spacing w:after="40" w:before="40" w:line="276" w:lineRule="auto"/>
              <w:ind w:right="72"/>
              <w:rPr>
                <w:rFonts w:ascii="Arial" w:cs="Arial" w:hAnsi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type="pct" w:w="619"/>
            <w:gridSpan w:val="2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F2F2F2" w:themeFill="background1" w:themeFillShade="F2" w:val="clear"/>
          </w:tcPr>
          <w:p w:rsidP="000D2B05" w:rsidR="00244834" w:rsidRDefault="00244834" w:rsidRPr="00DB77FA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3.1</w:t>
            </w:r>
          </w:p>
        </w:tc>
        <w:tc>
          <w:tcPr>
            <w:tcW w:type="pct" w:w="521"/>
            <w:gridSpan w:val="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Provide the ability for the call agent to automatically view the following demographic information about the Veteran in a si</w:t>
            </w:r>
            <w:r>
              <w:rPr>
                <w:rFonts w:ascii="Arial" w:cs="Arial" w:hAnsi="Arial"/>
                <w:sz w:val="20"/>
                <w:szCs w:val="20"/>
              </w:rPr>
              <w:t>ngle desktop view as a snapshot:</w:t>
            </w:r>
            <w:r w:rsidRPr="00DB77FA">
              <w:rPr>
                <w:rFonts w:ascii="Arial" w:cs="Arial" w:hAnsi="Arial"/>
                <w:sz w:val="20"/>
                <w:szCs w:val="20"/>
              </w:rPr>
              <w:t xml:space="preserve"> 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type="pct" w:w="619"/>
            <w:gridSpan w:val="2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1"/>
            <w:gridSpan w:val="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3.1.7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MyHealtheVet (MHV) Information</w:t>
            </w:r>
          </w:p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 xml:space="preserve">Status of Veteran Authentication in MHV 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R="00244834" w:rsidRDefault="00244834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MHV</w:t>
            </w:r>
          </w:p>
        </w:tc>
      </w:tr>
      <w:tr w:rsidR="00244834" w:rsidRPr="00DB77FA" w:rsidTr="00244834">
        <w:trPr>
          <w:cantSplit/>
        </w:trPr>
        <w:tc>
          <w:tcPr>
            <w:tcW w:type="pct" w:w="619"/>
            <w:gridSpan w:val="2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1"/>
            <w:gridSpan w:val="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3.1.8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MyHealtheVet (MHV) Information</w:t>
            </w:r>
          </w:p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Status of Veteran Opt-In to MHV secure messaging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244834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472794"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3.1.11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Information indicating Service connected disabilities and Special Treatment Authority conditions, e.g., Combat Veteran, Agent Orange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930841" w:rsidRPr="00930841">
            <w:pPr>
              <w:jc w:val="center"/>
              <w:rPr>
                <w:rFonts w:ascii="Arial" w:cs="Arial" w:hAnsi="Arial"/>
                <w:sz w:val="20"/>
                <w:szCs w:val="20"/>
                <w:highlight w:val="green"/>
              </w:rPr>
            </w:pPr>
            <w:r w:rsidRPr="00930841">
              <w:rPr>
                <w:rFonts w:ascii="Arial" w:cs="Arial" w:hAnsi="Arial"/>
                <w:sz w:val="20"/>
                <w:szCs w:val="20"/>
                <w:highlight w:val="green"/>
              </w:rPr>
              <w:t>Pathways</w:t>
            </w:r>
          </w:p>
          <w:p w:rsidP="008E1D12" w:rsidR="00930841" w:rsidRDefault="00930841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 w:rsidRPr="00930841">
              <w:rPr>
                <w:rFonts w:ascii="Arial" w:cs="Arial" w:hAnsi="Arial"/>
                <w:sz w:val="20"/>
                <w:szCs w:val="20"/>
                <w:highlight w:val="green"/>
              </w:rPr>
              <w:t xml:space="preserve">(returns AO </w:t>
            </w:r>
            <w:proofErr w:type="spellStart"/>
            <w:r w:rsidRPr="00930841">
              <w:rPr>
                <w:rFonts w:ascii="Arial" w:cs="Arial" w:hAnsi="Arial"/>
                <w:sz w:val="20"/>
                <w:szCs w:val="20"/>
                <w:highlight w:val="green"/>
              </w:rPr>
              <w:t>etc</w:t>
            </w:r>
            <w:proofErr w:type="spellEnd"/>
            <w:r w:rsidRPr="00930841">
              <w:rPr>
                <w:rFonts w:ascii="Arial" w:cs="Arial" w:hAnsi="Arial"/>
                <w:sz w:val="20"/>
                <w:szCs w:val="20"/>
                <w:highlight w:val="green"/>
              </w:rPr>
              <w:t xml:space="preserve"> data on </w:t>
            </w:r>
            <w:proofErr w:type="spellStart"/>
            <w:r w:rsidRPr="00930841">
              <w:rPr>
                <w:rFonts w:ascii="Arial" w:cs="Arial" w:hAnsi="Arial"/>
                <w:sz w:val="20"/>
                <w:szCs w:val="20"/>
                <w:highlight w:val="green"/>
              </w:rPr>
              <w:t>ExamRequest</w:t>
            </w:r>
            <w:proofErr w:type="spellEnd"/>
            <w:r w:rsidRPr="00930841">
              <w:rPr>
                <w:rFonts w:ascii="Arial" w:cs="Arial" w:hAnsi="Arial"/>
                <w:sz w:val="20"/>
                <w:szCs w:val="20"/>
                <w:highlight w:val="green"/>
              </w:rPr>
              <w:t xml:space="preserve"> responses)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auto" w:val="clear"/>
            <w:vAlign w:val="center"/>
            <w:hideMark/>
          </w:tcPr>
          <w:p w:rsidP="00472794" w:rsidR="00244834" w:rsidRDefault="00244834" w:rsidRPr="00DB77FA">
            <w:pPr>
              <w:spacing w:line="276" w:lineRule="auto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3.1.13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Power of attorney/durable power of attorney information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A03B86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3.1.15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Active Release of Information (ROI) forms</w:t>
            </w:r>
          </w:p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Active Release of Information (ROI) forms to include a list of the providers/agencies, dates ROI is active, if information has been sent the date it was sent/received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930841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auto" w:val="clear"/>
            <w:vAlign w:val="center"/>
            <w:hideMark/>
          </w:tcPr>
          <w:p w:rsidP="00472794" w:rsidR="00244834" w:rsidRDefault="00244834" w:rsidRPr="00DB77FA">
            <w:pPr>
              <w:spacing w:line="276" w:lineRule="auto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3.1.16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Patient record flags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930841" w:rsidRDefault="00930841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 w:rsidRPr="00930841">
              <w:rPr>
                <w:rFonts w:ascii="Arial" w:cs="Arial" w:hAnsi="Arial"/>
                <w:sz w:val="20"/>
                <w:szCs w:val="20"/>
                <w:highlight w:val="yellow"/>
              </w:rPr>
              <w:t>Record flags are there on patient records – can enhance CDS to provide this if so desired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3.1.20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MHV secure messaging assignment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A03B86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F2F2F2" w:themeFill="background1" w:themeFillShade="F2" w:val="clear"/>
            <w:vAlign w:val="center"/>
            <w:hideMark/>
          </w:tcPr>
          <w:p w:rsidP="00303E07" w:rsidR="00244834" w:rsidRDefault="00244834" w:rsidRPr="000D2B05">
            <w:pPr>
              <w:jc w:val="center"/>
              <w:rPr>
                <w:rFonts w:ascii="Arial" w:cs="Arial" w:eastAsia="Times New Roman" w:hAnsi="Arial"/>
                <w:sz w:val="20"/>
                <w:szCs w:val="20"/>
              </w:rPr>
            </w:pPr>
            <w:r w:rsidRPr="000D2B05">
              <w:rPr>
                <w:rFonts w:ascii="Arial" w:cs="Arial" w:eastAsia="Times New Roman" w:hAnsi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Appointment Scheduling &gt; View</w:t>
            </w:r>
          </w:p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Provide the ability for the call agent to automatically view the following appointment/scheduling information in a single desktop view</w:t>
            </w:r>
            <w:r>
              <w:rPr>
                <w:rFonts w:ascii="Arial" w:cs="Arial" w:hAnsi="Arial"/>
                <w:sz w:val="20"/>
                <w:szCs w:val="20"/>
              </w:rPr>
              <w:t>: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</w:tcPr>
          <w:p w:rsidP="008E1D12" w:rsidR="00244834" w:rsidRDefault="00244834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auto" w:val="clear"/>
            <w:vAlign w:val="center"/>
            <w:hideMark/>
          </w:tcPr>
          <w:p w:rsidP="000D2B05" w:rsidR="00244834" w:rsidRDefault="00244834" w:rsidRPr="000D2B05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3.3.1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Appointment Scheduling &gt; View</w:t>
            </w:r>
          </w:p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Future appointments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A03B86" w:rsidRPr="009028BF">
            <w:pPr>
              <w:jc w:val="center"/>
              <w:rPr>
                <w:rFonts w:ascii="Arial" w:cs="Arial" w:hAnsi="Arial"/>
                <w:sz w:val="20"/>
                <w:szCs w:val="20"/>
                <w:highlight w:val="green"/>
              </w:rPr>
            </w:pPr>
            <w:r w:rsidRPr="009028BF">
              <w:rPr>
                <w:rFonts w:ascii="Arial" w:cs="Arial" w:hAnsi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auto" w:val="clear"/>
            <w:vAlign w:val="center"/>
            <w:hideMark/>
          </w:tcPr>
          <w:p w:rsidP="000D2B05" w:rsidR="00244834" w:rsidRDefault="00244834" w:rsidRPr="000D2B05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auto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3.3.2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Appointment Scheduling &gt; View</w:t>
            </w:r>
          </w:p>
          <w:p w:rsidP="000D2B05" w:rsidR="00244834" w:rsidRDefault="00244834" w:rsidRPr="00DB77FA">
            <w:pPr>
              <w:spacing w:after="40" w:before="40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Last PCP appointment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A03B86" w:rsidRPr="009028BF">
            <w:pPr>
              <w:jc w:val="center"/>
              <w:rPr>
                <w:rFonts w:ascii="Arial" w:cs="Arial" w:hAnsi="Arial"/>
                <w:sz w:val="20"/>
                <w:szCs w:val="20"/>
                <w:highlight w:val="green"/>
              </w:rPr>
            </w:pPr>
            <w:r w:rsidRPr="009028BF">
              <w:rPr>
                <w:rFonts w:ascii="Arial" w:cs="Arial" w:hAnsi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472794"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3.3.6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Transportation Services Info</w:t>
            </w:r>
          </w:p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  <w:highlight w:val="yellow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 xml:space="preserve">Veteran has a cognitive, speech, and/or hearing impairment.  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A03B86" w:rsidRPr="009028BF">
            <w:pPr>
              <w:jc w:val="center"/>
              <w:rPr>
                <w:rFonts w:ascii="Arial" w:cs="Arial" w:hAnsi="Arial"/>
                <w:sz w:val="20"/>
                <w:szCs w:val="20"/>
                <w:highlight w:val="yellow"/>
              </w:rPr>
            </w:pPr>
            <w:r w:rsidRPr="009028BF">
              <w:rPr>
                <w:rFonts w:ascii="Arial" w:cs="Arial" w:hAnsi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  <w:hideMark/>
          </w:tcPr>
          <w:p w:rsidP="00472794"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3.3.7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Transportation Services Info</w:t>
            </w:r>
          </w:p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 xml:space="preserve">Date, time and reason of most recent urgent care visit 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8E1D12" w:rsidR="00244834" w:rsidRDefault="00244834">
            <w:pPr>
              <w:jc w:val="center"/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A03B86" w:rsidRPr="009028BF">
            <w:pPr>
              <w:jc w:val="center"/>
              <w:rPr>
                <w:rFonts w:ascii="Arial" w:cs="Arial" w:hAnsi="Arial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9028BF">
              <w:rPr>
                <w:rFonts w:ascii="Arial" w:cs="Arial" w:hAnsi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P="00472794"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3.3.8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7762EB" w:rsidR="00244834" w:rsidRDefault="00244834" w:rsidRPr="007762EB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7762EB">
              <w:rPr>
                <w:rFonts w:ascii="Arial" w:cs="Arial" w:hAnsi="Arial"/>
                <w:sz w:val="20"/>
                <w:szCs w:val="20"/>
              </w:rPr>
              <w:t>Emergency Visit Info</w:t>
            </w:r>
          </w:p>
          <w:p w:rsidP="007762EB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7762EB">
              <w:rPr>
                <w:rFonts w:ascii="Arial" w:cs="Arial" w:hAnsi="Arial"/>
                <w:sz w:val="20"/>
                <w:szCs w:val="20"/>
              </w:rPr>
              <w:t>Date, time and reason of most recent emergency visit.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171AD3" w:rsidR="00244834" w:rsidRDefault="00244834">
            <w:pPr>
              <w:jc w:val="center"/>
            </w:pPr>
            <w:r w:rsidRPr="004A3F4C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171AD3" w:rsidR="00244834" w:rsidRDefault="00A03B86" w:rsidRPr="009028BF">
            <w:pPr>
              <w:jc w:val="center"/>
              <w:rPr>
                <w:rFonts w:ascii="Arial" w:cs="Arial" w:hAnsi="Arial"/>
                <w:sz w:val="20"/>
                <w:szCs w:val="20"/>
                <w:highlight w:val="yellow"/>
              </w:rPr>
            </w:pPr>
            <w:r w:rsidRPr="009028BF">
              <w:rPr>
                <w:rFonts w:ascii="Arial" w:cs="Arial" w:hAnsi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P="00472794"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3.3.9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7762EB" w:rsidR="00244834" w:rsidRDefault="00244834" w:rsidRPr="007762EB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7762EB">
              <w:rPr>
                <w:rFonts w:ascii="Arial" w:cs="Arial" w:hAnsi="Arial"/>
                <w:sz w:val="20"/>
                <w:szCs w:val="20"/>
              </w:rPr>
              <w:t>Inpatient Discharge Info</w:t>
            </w:r>
          </w:p>
          <w:p w:rsidP="007762EB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7762EB">
              <w:rPr>
                <w:rFonts w:ascii="Arial" w:cs="Arial" w:hAnsi="Arial"/>
                <w:sz w:val="20"/>
                <w:szCs w:val="20"/>
              </w:rPr>
              <w:t>Date, time and reason of most recent inpatient discharge.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171AD3" w:rsidR="00244834" w:rsidRDefault="00244834">
            <w:pPr>
              <w:jc w:val="center"/>
            </w:pPr>
            <w:r w:rsidRPr="004A3F4C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171AD3" w:rsidR="00244834" w:rsidRDefault="00A03B86" w:rsidRPr="009028BF">
            <w:pPr>
              <w:jc w:val="center"/>
              <w:rPr>
                <w:rFonts w:ascii="Arial" w:cs="Arial" w:hAnsi="Arial"/>
                <w:sz w:val="20"/>
                <w:szCs w:val="20"/>
                <w:highlight w:val="yellow"/>
              </w:rPr>
            </w:pPr>
            <w:r w:rsidRPr="009028BF">
              <w:rPr>
                <w:rFonts w:ascii="Arial" w:cs="Arial" w:hAnsi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P="00472794" w:rsidR="00244834" w:rsidRDefault="00244834" w:rsidRPr="00DB77FA">
            <w:pPr>
              <w:rPr>
                <w:rFonts w:ascii="Arial" w:cs="Arial" w:eastAsia="Times New Roman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472794" w:rsidR="00244834" w:rsidRDefault="00244834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3.3.10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7762EB" w:rsidR="00244834" w:rsidRDefault="00244834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Clinically Indicated Date</w:t>
            </w:r>
          </w:p>
          <w:p w:rsidP="007762EB" w:rsidR="00244834" w:rsidRDefault="00244834" w:rsidRPr="007762EB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Date on which next visit should be scheduled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171AD3" w:rsidR="00244834" w:rsidRDefault="00244834" w:rsidRPr="004A3F4C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 w:rsidRPr="004A3F4C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171AD3" w:rsidR="00244834" w:rsidRDefault="00A03B86" w:rsidRPr="004A3F4C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F2F2F2" w:themeFill="background1" w:themeFillShade="F2" w:val="clear"/>
            <w:vAlign w:val="center"/>
          </w:tcPr>
          <w:p w:rsidP="00171AD3" w:rsidR="00244834" w:rsidRDefault="00244834" w:rsidRPr="00171AD3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  <w:r w:rsidRPr="00171AD3">
              <w:rPr>
                <w:rFonts w:ascii="Arial" w:cs="Arial" w:hAnsi="Arial"/>
                <w:sz w:val="20"/>
                <w:szCs w:val="20"/>
              </w:rPr>
              <w:t>3.5</w:t>
            </w: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:rsidP="00171AD3" w:rsidR="00244834" w:rsidRDefault="00244834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:rsidP="00171AD3" w:rsidR="00244834" w:rsidRDefault="00244834" w:rsidRPr="007762EB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171AD3">
              <w:rPr>
                <w:rFonts w:ascii="Arial" w:cs="Arial" w:hAnsi="Arial"/>
                <w:sz w:val="20"/>
                <w:szCs w:val="20"/>
              </w:rPr>
              <w:t>Provide the ability for the call agent to view the following other information in a single desktop view: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:rsidP="00171AD3" w:rsidR="00244834" w:rsidRDefault="00244834" w:rsidRPr="00C66D72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shd w:color="auto" w:fill="F2F2F2" w:themeFill="background1" w:themeFillShade="F2" w:val="clear"/>
          </w:tcPr>
          <w:p w:rsidP="00171AD3" w:rsidR="00244834" w:rsidRDefault="00244834" w:rsidRPr="00C66D72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P="00171AD3" w:rsidR="00244834" w:rsidRDefault="00244834" w:rsidRPr="00171AD3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525"/>
            <w:gridSpan w:val="3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171AD3" w:rsidR="00244834" w:rsidRDefault="00244834" w:rsidRPr="00171AD3">
            <w:pPr>
              <w:pStyle w:val="TableText"/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171AD3">
              <w:rPr>
                <w:rFonts w:ascii="Arial" w:cs="Arial" w:hAnsi="Arial"/>
                <w:sz w:val="20"/>
                <w:szCs w:val="20"/>
              </w:rPr>
              <w:t>3.5.13</w:t>
            </w:r>
          </w:p>
        </w:tc>
        <w:tc>
          <w:tcPr>
            <w:tcW w:type="pct" w:w="2456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171AD3" w:rsidR="00244834" w:rsidRDefault="00244834" w:rsidRPr="00171AD3">
            <w:pPr>
              <w:pStyle w:val="TableText"/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171AD3">
              <w:rPr>
                <w:rFonts w:ascii="Arial" w:cs="Arial" w:hAnsi="Arial"/>
                <w:sz w:val="20"/>
                <w:szCs w:val="20"/>
              </w:rPr>
              <w:t>Postings/special messages (such as advance directives, clinical warnings, restricted/sensitive records warning, etc.).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:rsidP="008E1D12" w:rsidR="00244834" w:rsidRDefault="00244834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 w:rsidRPr="00C66D72"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8E1D12" w:rsidR="00244834" w:rsidRDefault="00A03B86" w:rsidRPr="00C66D72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  <w:r w:rsidRPr="009028BF">
              <w:rPr>
                <w:rFonts w:ascii="Arial" w:cs="Arial" w:hAnsi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244834">
        <w:trPr>
          <w:cantSplit/>
        </w:trPr>
        <w:tc>
          <w:tcPr>
            <w:tcW w:type="pct" w:w="4298"/>
            <w:gridSpan w:val="6"/>
            <w:tcBorders>
              <w:top w:val="nil"/>
              <w:left w:color="auto" w:space="0" w:sz="8" w:val="single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0D2B05">
            <w:pPr>
              <w:spacing w:after="40" w:before="40" w:line="276" w:lineRule="auto"/>
              <w:ind w:right="72"/>
              <w:rPr>
                <w:rFonts w:ascii="Arial" w:cs="Arial" w:hAnsi="Arial"/>
                <w:b/>
                <w:sz w:val="20"/>
                <w:szCs w:val="20"/>
              </w:rPr>
            </w:pPr>
            <w:r w:rsidRPr="000D2B05">
              <w:rPr>
                <w:rFonts w:ascii="Arial" w:cs="Arial" w:hAnsi="Arial"/>
                <w:b/>
                <w:sz w:val="20"/>
                <w:szCs w:val="20"/>
              </w:rPr>
              <w:t xml:space="preserve">BN 6:  Call Notes </w:t>
            </w:r>
          </w:p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Provide the ability for the call agent to document information about the call using the single desktop view.</w:t>
            </w:r>
          </w:p>
        </w:tc>
        <w:tc>
          <w:tcPr>
            <w:tcW w:type="pct" w:w="702"/>
            <w:tcBorders>
              <w:top w:val="nil"/>
              <w:left w:color="auto" w:space="0" w:sz="8" w:val="single"/>
              <w:bottom w:color="auto" w:space="0" w:sz="8" w:val="single"/>
              <w:right w:color="000000" w:space="0" w:sz="8" w:val="single"/>
            </w:tcBorders>
          </w:tcPr>
          <w:p w:rsidP="00472794" w:rsidR="00244834" w:rsidRDefault="00244834" w:rsidRPr="000D2B05">
            <w:pPr>
              <w:spacing w:after="40" w:before="40" w:line="276" w:lineRule="auto"/>
              <w:ind w:right="72"/>
              <w:rPr>
                <w:rFonts w:ascii="Arial" w:cs="Arial" w:hAnsi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:rsidP="00303E07" w:rsidR="00244834" w:rsidRDefault="00244834" w:rsidRPr="00DB77FA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6.2</w:t>
            </w:r>
          </w:p>
        </w:tc>
        <w:tc>
          <w:tcPr>
            <w:tcW w:type="pct" w:w="482"/>
            <w:gridSpan w:val="2"/>
            <w:tcBorders>
              <w:top w:val="nil"/>
              <w:left w:val="nil"/>
              <w:bottom w:color="000000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line="276" w:lineRule="auto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2500"/>
            <w:gridSpan w:val="2"/>
            <w:tcBorders>
              <w:top w:val="nil"/>
              <w:left w:val="nil"/>
              <w:bottom w:color="000000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line="276" w:lineRule="auto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Provide the ability for the call agent to document call messages and have option to either push messages into CPRS or keep in CRM as a workflow item (task to be assigned).</w:t>
            </w:r>
          </w:p>
        </w:tc>
        <w:tc>
          <w:tcPr>
            <w:tcW w:type="pct" w:w="702"/>
            <w:tcBorders>
              <w:top w:val="nil"/>
              <w:left w:val="nil"/>
              <w:bottom w:color="000000" w:space="0" w:sz="8" w:val="single"/>
              <w:right w:color="000000" w:space="0" w:sz="8" w:val="single"/>
            </w:tcBorders>
            <w:shd w:color="auto" w:fill="F2F2F2"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702"/>
            <w:tcBorders>
              <w:top w:val="nil"/>
              <w:left w:val="nil"/>
              <w:bottom w:color="000000" w:space="0" w:sz="8" w:val="single"/>
              <w:right w:color="000000" w:space="0" w:sz="8" w:val="single"/>
            </w:tcBorders>
            <w:shd w:color="auto" w:fill="F2F2F2" w:themeFill="background1" w:themeFillShade="F2" w:val="clear"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rPr>
                <w:rFonts w:ascii="Arial" w:cs="Arial" w:hAnsi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type="pct" w:w="614"/>
            <w:tcBorders>
              <w:top w:val="nil"/>
              <w:left w:color="auto" w:space="0" w:sz="8" w:val="single"/>
              <w:bottom w:color="000000" w:space="0" w:sz="8" w:val="single"/>
              <w:right w:color="000000" w:space="0" w:sz="8" w:val="single"/>
            </w:tcBorders>
            <w:shd w:color="auto" w:fill="auto" w:val="clear"/>
            <w:vAlign w:val="center"/>
            <w:hideMark/>
          </w:tcPr>
          <w:p w:rsidP="00472794" w:rsidR="00244834" w:rsidRDefault="00244834" w:rsidRPr="00DB77FA">
            <w:pPr>
              <w:spacing w:line="276" w:lineRule="auto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pct" w:w="482"/>
            <w:gridSpan w:val="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pStyle w:val="TableText"/>
              <w:spacing w:line="276" w:lineRule="auto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6.2.2</w:t>
            </w:r>
          </w:p>
        </w:tc>
        <w:tc>
          <w:tcPr>
            <w:tcW w:type="pct" w:w="2500"/>
            <w:gridSpan w:val="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pStyle w:val="TableText"/>
              <w:spacing w:line="276" w:lineRule="auto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Call messages&gt;  Suspend</w:t>
            </w:r>
          </w:p>
          <w:p w:rsidP="00472794" w:rsidR="00244834" w:rsidRDefault="00244834" w:rsidRPr="00DB77FA">
            <w:pPr>
              <w:pStyle w:val="TableText"/>
              <w:spacing w:line="276" w:lineRule="auto"/>
              <w:rPr>
                <w:rFonts w:ascii="Arial" w:cs="Arial" w:hAnsi="Arial"/>
                <w:sz w:val="20"/>
                <w:szCs w:val="20"/>
              </w:rPr>
            </w:pPr>
            <w:r w:rsidRPr="00DB77FA">
              <w:rPr>
                <w:rFonts w:ascii="Arial" w:cs="Arial" w:hAnsi="Arial"/>
                <w:sz w:val="20"/>
                <w:szCs w:val="20"/>
              </w:rPr>
              <w:t>Provide the ability for the call agent to “suspend” (not sign-off on) clinical call messages pushed to CPRS.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hideMark/>
          </w:tcPr>
          <w:p w:rsidP="00472794" w:rsidR="00244834" w:rsidRDefault="00244834" w:rsidRPr="00DB77FA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July 2015</w:t>
            </w:r>
          </w:p>
        </w:tc>
        <w:tc>
          <w:tcPr>
            <w:tcW w:type="pct" w:w="702"/>
            <w:tcBorders>
              <w:top w:val="nil"/>
              <w:left w:val="nil"/>
              <w:bottom w:color="auto" w:space="0" w:sz="8" w:val="single"/>
              <w:right w:color="000000" w:space="0" w:sz="8" w:val="single"/>
            </w:tcBorders>
          </w:tcPr>
          <w:p w:rsidP="00472794" w:rsidR="00244834" w:rsidRDefault="00A03B86">
            <w:pPr>
              <w:spacing w:after="40" w:before="40" w:line="276" w:lineRule="auto"/>
              <w:ind w:right="72"/>
              <w:jc w:val="center"/>
              <w:rPr>
                <w:rFonts w:ascii="Arial" w:cs="Arial" w:hAnsi="Arial"/>
                <w:sz w:val="20"/>
                <w:szCs w:val="20"/>
              </w:rPr>
            </w:pPr>
            <w:r>
              <w:rPr>
                <w:rFonts w:ascii="Arial" w:cs="Arial" w:hAnsi="Arial"/>
                <w:sz w:val="20"/>
                <w:szCs w:val="20"/>
              </w:rPr>
              <w:t>??</w:t>
            </w:r>
          </w:p>
        </w:tc>
      </w:tr>
    </w:tbl>
    <w:p w:rsidR="00D15CF8" w:rsidRDefault="00D15CF8"/>
    <w:sectPr w:rsidR="00D15CF8">
      <w:footerReference r:id="rId8" w:type="default"/>
      <w:pgSz w:h="15840" w:w="12240"/>
      <w:pgMar w:bottom="1440" w:footer="720" w:gutter="0" w:header="720" w:left="1440" w:right="1440" w:top="144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B90" w:rsidRDefault="005D1B90" w:rsidP="00D15CF8">
      <w:r>
        <w:separator/>
      </w:r>
    </w:p>
  </w:endnote>
  <w:endnote w:type="continuationSeparator" w:id="0">
    <w:p w:rsidR="005D1B90" w:rsidRDefault="005D1B90" w:rsidP="00D1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F02EDF" w:rsidRDefault="00F02EDF">
    <w:pPr>
      <w:pStyle w:val="Footer"/>
    </w:pPr>
    <w:r>
      <w:tab/>
      <w:t>Version 2 – 11/25/14</w:t>
    </w: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otnote w:id="-1" w:type="separator">
    <w:p w:rsidP="00D15CF8" w:rsidR="005D1B90" w:rsidRDefault="005D1B90">
      <w:r>
        <w:separator/>
      </w:r>
    </w:p>
  </w:footnote>
  <w:footnote w:id="0" w:type="continuationSeparator">
    <w:p w:rsidP="00D15CF8" w:rsidR="005D1B90" w:rsidRDefault="005D1B90">
      <w:r>
        <w:continuation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87E587E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hanging="360" w:left="72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nsid w:val="7E846AAB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hanging="360" w:left="72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00"/>
  <w:proofState w:grammar="clean"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F8"/>
    <w:rsid w:val="00027D26"/>
    <w:rsid w:val="000A2959"/>
    <w:rsid w:val="000D2B05"/>
    <w:rsid w:val="00100F2B"/>
    <w:rsid w:val="00132708"/>
    <w:rsid w:val="0014041D"/>
    <w:rsid w:val="001579E7"/>
    <w:rsid w:val="00171AD3"/>
    <w:rsid w:val="001825AA"/>
    <w:rsid w:val="00207F04"/>
    <w:rsid w:val="00212DEB"/>
    <w:rsid w:val="00244834"/>
    <w:rsid w:val="00303E07"/>
    <w:rsid w:val="003E1464"/>
    <w:rsid w:val="00490BF7"/>
    <w:rsid w:val="005D1B90"/>
    <w:rsid w:val="006F30CF"/>
    <w:rsid w:val="007762EB"/>
    <w:rsid w:val="007B725C"/>
    <w:rsid w:val="007C171A"/>
    <w:rsid w:val="008726E5"/>
    <w:rsid w:val="008E1D12"/>
    <w:rsid w:val="009028BF"/>
    <w:rsid w:val="00930841"/>
    <w:rsid w:val="009A3F96"/>
    <w:rsid w:val="009D3639"/>
    <w:rsid w:val="00A03B86"/>
    <w:rsid w:val="00A62889"/>
    <w:rsid w:val="00A668F5"/>
    <w:rsid w:val="00AD52A2"/>
    <w:rsid w:val="00C158AC"/>
    <w:rsid w:val="00D1544A"/>
    <w:rsid w:val="00D15CF8"/>
    <w:rsid w:val="00DB77FA"/>
    <w:rsid w:val="00DC740B"/>
    <w:rsid w:val="00E21948"/>
    <w:rsid w:val="00E41E19"/>
    <w:rsid w:val="00F02EDF"/>
    <w:rsid w:val="00F2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annotation reference" w:uiPriority="0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D15CF8"/>
    <w:pPr>
      <w:spacing w:after="0" w:line="240" w:lineRule="auto"/>
    </w:pPr>
    <w:rPr>
      <w:rFonts w:ascii="Calibri" w:cs="Times New Roman" w:hAnsi="Calibri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Hyperlink" w:type="character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styleId="FootnoteText" w:type="paragraph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sid w:val="00D15CF8"/>
    <w:rPr>
      <w:rFonts w:ascii="Calibri" w:cs="Times New Roman" w:hAnsi="Calibri"/>
      <w:sz w:val="20"/>
      <w:szCs w:val="20"/>
    </w:rPr>
  </w:style>
  <w:style w:customStyle="1" w:styleId="TableTextChar" w:type="character">
    <w:name w:val="Table Text Char"/>
    <w:basedOn w:val="DefaultParagraphFont"/>
    <w:link w:val="TableText"/>
    <w:locked/>
    <w:rsid w:val="00D15CF8"/>
    <w:rPr>
      <w:rFonts w:ascii="Calibri" w:hAnsi="Calibri"/>
    </w:rPr>
  </w:style>
  <w:style w:customStyle="1" w:styleId="TableText" w:type="paragraph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styleId="FootnoteReference" w:type="character">
    <w:name w:val="footnote reference"/>
    <w:basedOn w:val="DefaultParagraphFont"/>
    <w:uiPriority w:val="99"/>
    <w:semiHidden/>
    <w:unhideWhenUsed/>
    <w:rsid w:val="00D15CF8"/>
    <w:rPr>
      <w:rFonts w:ascii="Times New Roman" w:cs="Times New Roman" w:hAnsi="Times New Roman" w:hint="default"/>
      <w:vertAlign w:val="superscript"/>
    </w:rPr>
  </w:style>
  <w:style w:styleId="BalloonText" w:type="paragraph">
    <w:name w:val="Balloon Text"/>
    <w:basedOn w:val="Normal"/>
    <w:link w:val="BalloonTextChar"/>
    <w:uiPriority w:val="99"/>
    <w:semiHidden/>
    <w:unhideWhenUsed/>
    <w:rsid w:val="009A3F96"/>
    <w:rPr>
      <w:rFonts w:ascii="Tahoma" w:cs="Tahoma" w:hAnsi="Tahoma"/>
      <w:sz w:val="16"/>
      <w:szCs w:val="16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9A3F96"/>
    <w:rPr>
      <w:rFonts w:ascii="Tahoma" w:cs="Tahoma" w:hAnsi="Tahoma"/>
      <w:sz w:val="16"/>
      <w:szCs w:val="16"/>
    </w:rPr>
  </w:style>
  <w:style w:styleId="CommentReference" w:type="character">
    <w:name w:val="annotation reference"/>
    <w:semiHidden/>
    <w:rsid w:val="00171AD3"/>
    <w:rPr>
      <w:rFonts w:cs="Times New Roman"/>
      <w:sz w:val="16"/>
      <w:szCs w:val="16"/>
    </w:rPr>
  </w:style>
  <w:style w:styleId="CommentText" w:type="paragraph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customStyle="1" w:styleId="CommentTextChar" w:type="character">
    <w:name w:val="Comment Text Char"/>
    <w:basedOn w:val="DefaultParagraphFont"/>
    <w:link w:val="CommentText"/>
    <w:uiPriority w:val="99"/>
    <w:semiHidden/>
    <w:rsid w:val="00171AD3"/>
    <w:rPr>
      <w:rFonts w:ascii="Times New Roman" w:cs="Times New Roman" w:eastAsia="Times New Roman" w:hAnsi="Times New Roman"/>
      <w:sz w:val="20"/>
      <w:szCs w:val="20"/>
    </w:rPr>
  </w:style>
  <w:style w:styleId="ListParagraph" w:type="paragraph">
    <w:name w:val="List Paragraph"/>
    <w:basedOn w:val="Normal"/>
    <w:uiPriority w:val="34"/>
    <w:qFormat/>
    <w:rsid w:val="007B725C"/>
    <w:pPr>
      <w:ind w:left="720"/>
      <w:contextualSpacing/>
    </w:pPr>
  </w:style>
  <w:style w:styleId="Header" w:type="paragraph">
    <w:name w:val="header"/>
    <w:basedOn w:val="Normal"/>
    <w:link w:val="HeaderChar"/>
    <w:uiPriority w:val="99"/>
    <w:unhideWhenUsed/>
    <w:rsid w:val="00F02EDF"/>
    <w:pPr>
      <w:tabs>
        <w:tab w:pos="4680" w:val="center"/>
        <w:tab w:pos="9360" w:val="right"/>
      </w:tabs>
    </w:pPr>
  </w:style>
  <w:style w:customStyle="1" w:styleId="HeaderChar" w:type="character">
    <w:name w:val="Header Char"/>
    <w:basedOn w:val="DefaultParagraphFont"/>
    <w:link w:val="Header"/>
    <w:uiPriority w:val="99"/>
    <w:rsid w:val="00F02EDF"/>
    <w:rPr>
      <w:rFonts w:ascii="Calibri" w:cs="Times New Roman" w:hAnsi="Calibri"/>
    </w:rPr>
  </w:style>
  <w:style w:styleId="Footer" w:type="paragraph">
    <w:name w:val="footer"/>
    <w:basedOn w:val="Normal"/>
    <w:link w:val="FooterChar"/>
    <w:uiPriority w:val="99"/>
    <w:unhideWhenUsed/>
    <w:rsid w:val="00F02EDF"/>
    <w:pPr>
      <w:tabs>
        <w:tab w:pos="4680" w:val="center"/>
        <w:tab w:pos="9360" w:val="right"/>
      </w:tabs>
    </w:pPr>
  </w:style>
  <w:style w:customStyle="1" w:styleId="FooterChar" w:type="character">
    <w:name w:val="Footer Char"/>
    <w:basedOn w:val="DefaultParagraphFont"/>
    <w:link w:val="Footer"/>
    <w:uiPriority w:val="99"/>
    <w:rsid w:val="00F02EDF"/>
    <w:rPr>
      <w:rFonts w:ascii="Calibri" w:cs="Times New Roma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
<Relationship Id="rId1" Target="numbering.xml" Type="http://schemas.openxmlformats.org/officeDocument/2006/relationships/numbering"/>
<Relationship Id="rId10" Target="theme/theme1.xml" Type="http://schemas.openxmlformats.org/officeDocument/2006/relationships/theme"/>
<Relationship Id="rId2" Target="styles.xml" Type="http://schemas.openxmlformats.org/officeDocument/2006/relationships/styles"/>
<Relationship Id="rId3" Target="stylesWithEffects.xml" Type="http://schemas.microsoft.com/office/2007/relationships/stylesWithEffect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 xmlns:xsi="http://www.w3.org/2001/XMLSchema-instance">
  <Template>Normal.dotm</Template>
  <TotalTime>0</TotalTime>
  <Pages>0</Pages>
  <Words>0</Words>
  <Characters>0</Characters>
  <DocSecurity>0</DocSecurity>
  <Lines>21</Lines>
  <Paragraphs>0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 xsi:nil="true"/>
  <LinksUpToDate>false</LinksUpToDate>
  <CharactersWithSpaces>0</CharactersWithSpaces>
  <SharedDoc>false</SharedDoc>
  <HyperlinksChanged>false</HyperlinksChanged>
  <AppVersion>14.0000</AppVersion>
  <HyperlinkBase xsi:nil="true"/>
  <Manager xsi:nil="true"/>
  <Notes>0</Not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2014-11-24T15:14:00Z</dcterms:created>
  <dcterms:modified xsi:type="dcterms:W3CDTF">2014-12-23T00:15:00Z</dcterms:modified>
  <cp:revision>13</cp:revision>
</cp:coreProperties>
</file>